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ind w:right="27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sz w:val="32"/>
          <w:szCs w:val="32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</w:rPr>
        <w:t xml:space="preserve">ПО ИЗУЧЕНИЮ ДИСЦИПЛИНЫ 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  <w:t xml:space="preserve"> РЕДАКТИРОВАНИЕ СЦЕНАРИЯ 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32"/>
          <w:szCs w:val="32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32"/>
          <w:szCs w:val="32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948A54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Cs/>
          <w:color w:val="000000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И ЗАДАЧИ ОСВОЕНИЯ ДИСЦИПЛИНЫ</w:t>
      </w:r>
    </w:p>
    <w:p>
      <w:pPr>
        <w:ind w:firstLine="709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Целью освоения дисциплины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«Редактирование сценария» является возможность студентам овладеть профессиональными практическими навыками редакторской работы над киносценариями. Дисциплина дает возможность студентам освоить профессию кино- и телередактора, применить навыки профессии кинодраматурга в саморедактировании. Посредством редактирования сценариев кино- и телефильмов, дисциплина позволит студентам уметь оценивать и профессионально направлять работу другого автора, со-автора. 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zh-CN"/>
        </w:rPr>
        <w:t>Важнейшей задачей курса дисциплины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«Редактирование сценария» является подготовка студентов к самостоятельной  литературной и редакционной работе в области кино и телевидения и выработка в будущих драматургах истинного мировоззрения, осознанного отношения к своей работе в искусстве и в развитии культуры.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МЕТОДИЧЕСКИЕ УКАЗАНИЯ ПО ОСВОЕНИЮ ДИСЦИПЛИНЫ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.</w:t>
      </w: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Редактирование сценария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»  предполагает определенный объем самостоятельной работы студентов над заданиями  преподавателей, такими как редакторская переработка сценариев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, созданных другими участниками группы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, адаптация произведений драматургии; редакторский анализ сценария фильма.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Студенты, начиная с первого месяца обучения пишут рецензии на творческие работы: сначала на заявку  фильма или сериала, а потом и  логлайн с синопсисом. Создание таких редакторских рецензий – проверенный и испытанный многими годами способ закрепления теоретических знаний  по  курсу «Редактирование сценария» на практике.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Для оптимального усвоения студентами материала дисциплины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Редактирование сценария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», успешного выполнения самостоятельных заданий, настоятельной необходимостью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«Дополнительного списка рекомендованной литературы».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жанровой драматургии, самостоятельная работа над произведениями драматургии в различных жанрах.  Особое значение имеет приобретение навыков самостоятельного изучение источников по теме и освоение теории и практики жанровой драматургии.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В процессе освоения дисциплины, студенту необходимо: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- быть в курсе современных новинок кинопроизводства, появлением новых телевизионных форматов, сменяемость тематик телевизионных передач, поиск новых форм сериального производства;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просматривать периодическую литературу, - читать отзывы, рецензии  на фильмы и сериалы, просматривать рейтинговые оценки;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следить за фестивальной жизнью, по возможности посещать кинопоказы и смотры;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- самостоятельно участвовать в питчингах сценаристов, презентовать творческие работы, созданные самостоятельно, а также другими авторами;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формировать навыки работы в творческой команде, получать опыт совместной работы над сценарием; и другое.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Редактирование сценария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» обеспечивает: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закрепление знаний, полученных студентами в процессе занятий лекционного и мелкогруппового типов;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В рамках изучаемых тем по «Редактирование сценария» в качестве  самостоятельной работы предусмотрен систематический редакторский   разбор сценариев    с последующим их  анализом и обсуждением на мелкогрупповых занятиях. 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В процессе выполнения самостоятельной работы студент овладевает умениями и навыками редакторской деятельности; анализом сценарных текстов, концепций, точек зрения. Проверка самостоятельно работы осуществляется по мере выполнения заданий на мелкогрупповых занятиях. При необходимости, студенту даются дополнительные домашние задания.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разбор практического материала: синопсисов, заявок, сценариев выдающихся произведений, представляющих определенную культурную значимость;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сценарных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     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Подготовка к практическим занятиям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творческим проектом.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Подготовка творческого проекта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творческого проекта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Творческий проект состоит из обязательных элементов: логлайн (краткая аннотация, описание проекта), питч (составляющая основа презентации проекта), заявка (подробное описание будущего фильма), синопсис (детальное описание сюжета будущего фильма), поэпизодный план сцен фильма, сценарий фильма.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Творческий проект должен содержать: название, сообщение основной темы и идеи, описание характера героя, краткое перечисление действующих лиц, живую интересную форму движения сюжета, акцентирование внимания на важных моментах, драматических перипетиях и резком сломе действия, оригинальность подхода и авторского послания. Основная часть, в которой студент должен глубоко раскрыть основную тему и идею, движение основного сюжета, выделить фабулу, описать характеры действующих лиц. Задача основной части – представить достаточно данных для понимания сущности драматургического материала, содержания истории, чтобы слушатели во время презентации (питчинга творческого проекта, выполненной в  очной или заочной, прямой или дистанционной форме) заинтересовались сценарием фильма. При этом допускается использование наглядных материалов, аудио-визуальных и визуальных материалов, - референсов проекта.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часть проекта заключает в себе корректировку сюжета, сюжетных линий будущего фильма, проработку характера в соответствии с рекомендациями преподавателя.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3. Подготовка к участию в «круглом столе» (коллективное обсуждение творческого проекта).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«Круглый стол» является формой коллективного участия студентов в обсуждении творческого проекта.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материала, проработанного на лекциях и в самостоятельной работе. Для успешного участия в «круглом столе» студенту необходимо предварительное ознакомление с материалом (творческим проектов на разных этапах написания) и подготовка к короткому выступлению в ходе его обсуждения. Круглый стол может включать использование наглядных материалов, аудио-визуальных и визуальных материалов, - референсов проекта. Успешным участием в обсуждении творческого проекта будет быстрое по времени, логичное и иллюстративное доказательство своей точки зрения по созданному творческому проекту, включающее выражение своей мировоззренческой, авторской, конструктивной позиции, высказывание собственных предположений по дальнейшему развитию сюжета сценария фильма.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практических занятиях</w:t>
      </w: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1. Работа редактора в подготовительном, съемочном и монтажно-тонировочном периоде. </w:t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В подготовительный период, участие в творческих совещаниях, работа с цехами, помощь в утверждении локаций и пр.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ab/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Во время съемочного периода. Отсмотр материала по утвержденному плану, работа на площадке, предварительный монтажный план.  </w:t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Отсмотр и доработка монтажа. Уточнение текста с автором. Утверждение музыки и шумов.  </w:t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2. Работа  редактора с экранизацией. Вопросы:</w:t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Понятие «киногеничности» произведения. </w:t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Различие подходов к экранизации: принцип «свободного изложения», понятие «творческая экранизация», создание сценариев «по мотивам» литературных произведений. </w:t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 «Прочтение» сценаристом литературного источника. Оценка актуальности проблем, современности его звучания.  </w:t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3.   Особенности работы со сценарной заявкой. Вопросы: </w:t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Различия между заказом студии и авторскими заявками. </w:t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Заявка на сценарий телесериала – ее особенности и отличия от кинозаявки.</w:t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Форма подачи драматургического материала и его объем в заявке и синопсисе.</w:t>
      </w:r>
    </w:p>
    <w:p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4. «Поэпизодник» в кинодраматургии.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Отличия поэпизодного  плана сценария и синопсиса.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Особенности  перевода   синопсиса  на язык конкретных сцен и эпизодов.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Создание поэпизодного плана  через детальную разработку пластического пространства будущего фильма. 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5. Драматургия новых телевизионных форм. Работа редактора на телевидении.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Особенности драматургического построения телепрограмм.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Драматургические приемы воздействия на  телеаудиторию. 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Сценарная  запись телевизионных программ.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1. Задание: Просмотреть и письменно  проанализировать фабульный состав и развитие сюжета в одном-двух современных фильмах, разных по жанру. Выявить сценарные ошибки.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 Задание:  Просмотреть и письменно  проанализировать  сериал, в том числе построение библии сериала, описания персонажей, соответствие поэпизодному плану, франшизе сериала.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 Задание:  Просмотреть и письменно  проанализировать  несколько современных фильмов, разных жанров с точки зрения построения и развития в них конфликта.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 Задание:  Просмотреть и письменно  проанализировать   несколько современных фильмов с точки зрения взаимодействия элементов драматургического сюжета.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5. 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Задание:  Просмотреть и письменно  проанализировать  неигровой фильм, найти новые новые недостающие факты.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6.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 Задание:  Просмотреть и письменно  проанализировать  анимационный фильм.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7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. Задание: Создать экранизацию литературного произведения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: классику русской и зарубежной литературы  малой формы.</w:t>
      </w: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8. Задание: Проанализировать сценарные тексты, как современные, российские, так и зарубежные.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pStyle w:val="14"/>
        <w:spacing w:after="160" w:line="259" w:lineRule="auto"/>
        <w:ind w:left="1500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экзаменам: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7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предоставляется: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Редакторская правка сценарного пакета: логлайн, синопсис, тритмент другого участника группы (необходима разбивка группы: редактор-автор).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7 семестр</w:t>
      </w:r>
      <w:r>
        <w:rPr>
          <w:color w:val="000000"/>
          <w:sz w:val="28"/>
          <w:szCs w:val="28"/>
        </w:rPr>
        <w:t xml:space="preserve"> - на зачёт с оценкой предоставляется: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Редакторская правка сценария полнометражного фильма, созданного другим участником группы (Данное задание проводится с целью выявления сценарных ошибок другим автором при подготовке Выпускной квалификационной работы).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 зачёту с оценкой.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зачёту с оценкой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зачёт с оценккой,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зачета представить этапы работы над творческим проектом и сценарные материалы;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зачета раскрыть вопрос и аргументировать свою позицию;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зачета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 xml:space="preserve">Методические указания студентам по подготовке к </w:t>
      </w:r>
      <w:r>
        <w:rPr>
          <w:rFonts w:ascii="Times New Roman" w:hAnsi="Times New Roman" w:cs="Times New Roman"/>
          <w:b/>
          <w:sz w:val="28"/>
          <w:szCs w:val="28"/>
        </w:rPr>
        <w:t>зачёту с оценкой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</w:t>
      </w:r>
      <w:r>
        <w:rPr>
          <w:rFonts w:ascii="Times New Roman" w:hAnsi="Times New Roman" w:cs="Times New Roman"/>
          <w:b/>
          <w:sz w:val="28"/>
          <w:szCs w:val="28"/>
        </w:rPr>
        <w:t>зачёту с оценкой</w:t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Times New Roman"/>
          <w:kern w:val="2"/>
          <w:sz w:val="28"/>
          <w:szCs w:val="28"/>
          <w:lang w:eastAsia="zh-CN"/>
        </w:rPr>
        <w:t xml:space="preserve">1. Профессиональная связка редактор – продюсер, сценарист, режиссер. Роль редактора в общем процессе кинопроизводства.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2. Редактор как генератор киноидей.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3. Особенности работы с рецензией, разработка ее формата, база рецензий. 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4. Литературный сценарий как объект авторского права. Права редактора на редакторские правки и замечания.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5. Сценарные документы (заявка, синопсис, поэпизодный план, сценарий, аннотация и др.) и их особенности.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6. Понимание особенностей работы редактора над сценарием и сценарными документами. 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7. Особенности работы со сценарной заявкой. Подготовительный сбор материала. 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8. Заявка на сценарий телесериала – ее особенности и отличия от кинозаявки.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9. Особенности редакторской работы с вариантами киносценария.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10. Механизм работы редактор – автор.  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11. Работа редактора с режиссерским сценарием.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12. Работа редактора в подготовительный период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13.Работа редактора во время съемочного периода.  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14. Работа редактора в монтажно-тонировочном периоде. 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15. Работа редактора по подготовке фильма к прокату и премьере. 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16. Работа редактора с авторским коллективом.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17. Особенности работы телередактора.  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18. Особенности работы редактора в неигровом кино.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19. Работа редактора с анимационным фильмом.   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20. Понятие «киногеничности» произведения при экранизации.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21. Подготовка к питчингу: создание редактором сценарного пакета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22. Создание редактором сценарной базы авторов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23. Особенности работы с рецензией, разработка ее формата, база рецензий.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24. Работа редактора в телесериале.   </w:t>
      </w:r>
    </w:p>
    <w:p>
      <w:pPr>
        <w:pStyle w:val="23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25. Место редактора в кинопроизводстве.</w:t>
      </w:r>
    </w:p>
    <w:p>
      <w:pPr>
        <w:spacing w:after="160" w:line="259" w:lineRule="auto"/>
        <w:ind w:left="72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зачете: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keepNext/>
        <w:keepLines/>
        <w:spacing w:before="240" w:after="60"/>
        <w:ind w:right="1320"/>
        <w:outlineLvl w:val="2"/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ind w:firstLine="601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: </w:t>
      </w:r>
    </w:p>
    <w:p>
      <w:pPr>
        <w:ind w:firstLine="426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pStyle w:val="14"/>
        <w:numPr>
          <w:ilvl w:val="0"/>
          <w:numId w:val="2"/>
        </w:numPr>
        <w:ind w:left="0" w:firstLine="426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Борисова, Елена Георгиевна.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Стилистика и литературное редактирование : учебник и практикум для вузов / Е. Г. Борисова, Е. Ю. Геймбух. — Москва : Издательство Юрайт, 2022. — 275 с. — (Высшее образование). — ISBN 978-5-534-01410-5. — Текст : электронный // Образовательная платформа Юрайт [сайт]. </w:t>
      </w:r>
      <w:r>
        <w:fldChar w:fldCharType="begin"/>
      </w:r>
      <w:r>
        <w:instrText xml:space="preserve"> HYPERLINK "https://urait.ru/book/stilistika-i-literaturnoe-redaktirovanie-489451"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  <w:shd w:val="clear" w:color="auto" w:fill="FFFFFF"/>
        </w:rPr>
        <w:t>https://urait.ru/book/stilistika-i-literaturnoe-redaktirovanie-489451</w:t>
      </w:r>
      <w:r>
        <w:rPr>
          <w:rStyle w:val="4"/>
          <w:rFonts w:ascii="Times New Roman" w:hAnsi="Times New Roman" w:cs="Times New Roman"/>
          <w:sz w:val="28"/>
          <w:szCs w:val="28"/>
          <w:shd w:val="clear" w:color="auto" w:fill="FFFFFF"/>
        </w:rPr>
        <w:fldChar w:fldCharType="end"/>
      </w:r>
    </w:p>
    <w:p>
      <w:pPr>
        <w:pStyle w:val="22"/>
        <w:numPr>
          <w:ilvl w:val="0"/>
          <w:numId w:val="2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Дымова, И.А. Редактирование текстов массовой коммуникации [Электронный ресурс] : учеб. пособие / И. А. Дымова ; Дымова И.А. - Оренбург : Оренбургский государственный университет, 2012. - 191 c </w:t>
      </w:r>
    </w:p>
    <w:p>
      <w:pPr>
        <w:pStyle w:val="22"/>
        <w:numPr>
          <w:ilvl w:val="0"/>
          <w:numId w:val="2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Нехорошев, Л.Н. Драматургия фильма: уч. пособие / Л.Н. Нехорошев.— М.: ВГИК. — 2009. — 344 с. </w:t>
      </w:r>
    </w:p>
    <w:p>
      <w:pPr>
        <w:pStyle w:val="22"/>
        <w:spacing w:line="360" w:lineRule="auto"/>
        <w:ind w:right="463" w:firstLine="426"/>
        <w:jc w:val="both"/>
        <w:rPr>
          <w:sz w:val="28"/>
          <w:szCs w:val="28"/>
        </w:rPr>
      </w:pPr>
    </w:p>
    <w:p>
      <w:pPr>
        <w:widowControl w:val="0"/>
        <w:tabs>
          <w:tab w:val="left" w:pos="1080"/>
        </w:tabs>
        <w:snapToGrid w:val="0"/>
        <w:ind w:firstLine="426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Дополнительная литература:</w:t>
      </w: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i/>
          <w:color w:val="FF0000"/>
          <w:sz w:val="28"/>
          <w:szCs w:val="28"/>
          <w:lang w:eastAsia="zh-CN"/>
        </w:rPr>
      </w:pPr>
    </w:p>
    <w:p>
      <w:pPr>
        <w:pStyle w:val="22"/>
        <w:numPr>
          <w:ilvl w:val="0"/>
          <w:numId w:val="3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Нора Галь. Слово живое и мертвое. Издательство Азбука-Аттикус, Азбука. Серия Азбука-Классика, </w:t>
      </w:r>
      <w:r>
        <w:rPr>
          <w:sz w:val="28"/>
          <w:szCs w:val="28"/>
          <w:lang w:val="en-US"/>
        </w:rPr>
        <w:t>Non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Fiction</w:t>
      </w:r>
      <w:r>
        <w:rPr>
          <w:sz w:val="28"/>
          <w:szCs w:val="28"/>
        </w:rPr>
        <w:t xml:space="preserve">, 2017. - 352 с. </w:t>
      </w:r>
    </w:p>
    <w:p>
      <w:pPr>
        <w:pStyle w:val="22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Розенталь, А.Создание кино и видеофильмов от А до Я : Пер. с англ. - М. : Изд-во "ТРИУМФ", 2003.   344.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Сбитнева, А. А. Литературное редактирование изданий : учеб. пособие / А. А. Сбитнева ; Моск. гос. ун-т культуры и искусств. - М. : МГУКИ, 2005. - 239с. 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Сценарное мастерство: кино- и теледраматургия как искусство, ремесло и бизнес: реф. кн. Р. Уолтера / Ин-т повышения квалификации работников телевидения и радиовещания. — М., 1993. — 63 с. 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Стилистика и литературное редактирование : учебник / под ред. В.И. Максимова. - 3-е изд. ; [стер.]. - М. : Гардарики, 2008. - 653 с.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Фигуровский, Н.Н. Кинодраматургия и зритель: проблема овладения вниманием : уч. пособие / Н.Н. Фигуровский ; Всесоюз. гос. ин-т кинематографии им. С.А. Герасимова, каф. кинодраматургии. — М.: ВГИК, 1989. — 69 с. 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Фрумкин, Г.М. Сценарное мастерство: кино — телевидение — реклама: уч. пособие / Г.М. Фрумкин. — 3-е изд. — М.: Академ. проект, 2008. – 222 с. </w:t>
      </w:r>
    </w:p>
    <w:p>
      <w:pPr>
        <w:pStyle w:val="22"/>
        <w:numPr>
          <w:ilvl w:val="0"/>
          <w:numId w:val="3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Campbell, J. The Hero with a Thousand Faces (The Collected Works of Jo-seph Campbell) / Joseph Campbell. — 3rd ed. — New World Library, 2008. — 432 p.</w:t>
      </w:r>
    </w:p>
    <w:p>
      <w:pPr>
        <w:pStyle w:val="22"/>
        <w:numPr>
          <w:ilvl w:val="0"/>
          <w:numId w:val="3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Egri, L. The Art of Dramatic Writing / Lajos Egri. – Kessinger Publishing, LLC, 2010. — 320 p. </w:t>
      </w:r>
    </w:p>
    <w:p>
      <w:pPr>
        <w:pStyle w:val="22"/>
        <w:numPr>
          <w:ilvl w:val="0"/>
          <w:numId w:val="3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Halperin, M. Writing The Second Act: Building Conflict and Tension in Your Film Scripts / Michael Halperin. — 1st ed. — Michael Wiese Productions, 2003. — 240 p. </w:t>
      </w:r>
    </w:p>
    <w:p>
      <w:pPr>
        <w:pStyle w:val="22"/>
        <w:numPr>
          <w:ilvl w:val="0"/>
          <w:numId w:val="3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Hicks, N.D. Writing the Action Adventure Film: The Moment of Truth / Neill D. Hicks. — Michael Wiese Productions, 2002. — 150 p. </w:t>
      </w:r>
    </w:p>
    <w:p>
      <w:pPr>
        <w:pStyle w:val="22"/>
        <w:numPr>
          <w:ilvl w:val="0"/>
          <w:numId w:val="3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Hicks, N.D. Writing the Thriller Film: The Terror Within / Neill D. Hicks. — Michael Wiese Productions, 2002. — 150 p. </w:t>
      </w:r>
    </w:p>
    <w:p>
      <w:pPr>
        <w:pStyle w:val="22"/>
        <w:numPr>
          <w:ilvl w:val="0"/>
          <w:numId w:val="3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Press, S. The Complete Idiot's Guide to Screenwriting / Skip Press. — 3rd ed. — Alpah Books, 2008. — 400 p. </w:t>
      </w:r>
    </w:p>
    <w:p>
      <w:pPr>
        <w:pStyle w:val="22"/>
        <w:numPr>
          <w:ilvl w:val="0"/>
          <w:numId w:val="3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Schatz, T. Hollywood Genres: Formulas, Filmmaking and the Studio Sys-tem / Thomas Schatz. — 1st ed. — New York : Random House, 1981. — 311 p. </w:t>
      </w:r>
    </w:p>
    <w:p>
      <w:pPr>
        <w:pStyle w:val="22"/>
        <w:numPr>
          <w:ilvl w:val="0"/>
          <w:numId w:val="3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Seger, L. Making a Good Script Great / Linda Seger. </w:t>
      </w:r>
      <w:r>
        <w:rPr>
          <w:b/>
          <w:bCs/>
          <w:sz w:val="28"/>
          <w:szCs w:val="28"/>
          <w:lang w:val="en-US"/>
        </w:rPr>
        <w:t xml:space="preserve">— </w:t>
      </w:r>
      <w:r>
        <w:rPr>
          <w:sz w:val="28"/>
          <w:szCs w:val="28"/>
          <w:lang w:val="en-US"/>
        </w:rPr>
        <w:t xml:space="preserve">3rd ed. — Silman-James Pr., 2010. — 242 p. </w:t>
      </w:r>
    </w:p>
    <w:p>
      <w:pPr>
        <w:pStyle w:val="22"/>
        <w:numPr>
          <w:ilvl w:val="0"/>
          <w:numId w:val="3"/>
        </w:numPr>
        <w:shd w:val="clear" w:color="auto" w:fill="FFFFFF"/>
        <w:autoSpaceDN w:val="0"/>
        <w:spacing w:line="360" w:lineRule="auto"/>
        <w:ind w:left="0" w:firstLine="426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Truby, J. The Anatomy of Story. — Faber and Faber inc., 2012. — 328 p. </w:t>
      </w: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pStyle w:val="14"/>
        <w:numPr>
          <w:ilvl w:val="0"/>
          <w:numId w:val="4"/>
        </w:numPr>
        <w:ind w:left="284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pStyle w:val="14"/>
        <w:numPr>
          <w:ilvl w:val="0"/>
          <w:numId w:val="4"/>
        </w:numPr>
        <w:ind w:left="284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pStyle w:val="14"/>
        <w:numPr>
          <w:ilvl w:val="0"/>
          <w:numId w:val="4"/>
        </w:numPr>
        <w:ind w:left="284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……….Носикова Е.В.</w:t>
      </w:r>
      <w:r>
        <w:rPr>
          <w:rFonts w:ascii="Times New Roman" w:hAnsi="Times New Roman" w:eastAsia="Times New Roman" w:cs="Times New Roman"/>
          <w:sz w:val="28"/>
          <w:szCs w:val="28"/>
        </w:rPr>
        <w:t>………………………………………..</w:t>
      </w:r>
    </w:p>
    <w:p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1">
    <w:nsid w:val="34EF6508"/>
    <w:multiLevelType w:val="multilevel"/>
    <w:tmpl w:val="34EF650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0101C"/>
    <w:multiLevelType w:val="multilevel"/>
    <w:tmpl w:val="4130101C"/>
    <w:lvl w:ilvl="0" w:tentative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4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174A3A"/>
    <w:rsid w:val="001C1CB1"/>
    <w:rsid w:val="001F4300"/>
    <w:rsid w:val="002172D4"/>
    <w:rsid w:val="00257CA0"/>
    <w:rsid w:val="002A04C1"/>
    <w:rsid w:val="002D3A8A"/>
    <w:rsid w:val="002F1497"/>
    <w:rsid w:val="002F4171"/>
    <w:rsid w:val="00350B5D"/>
    <w:rsid w:val="00380CA7"/>
    <w:rsid w:val="003C0176"/>
    <w:rsid w:val="00477ADA"/>
    <w:rsid w:val="0050768F"/>
    <w:rsid w:val="00562A71"/>
    <w:rsid w:val="0076624E"/>
    <w:rsid w:val="008E5377"/>
    <w:rsid w:val="008F0E9E"/>
    <w:rsid w:val="009121CF"/>
    <w:rsid w:val="009D6872"/>
    <w:rsid w:val="00A12833"/>
    <w:rsid w:val="00A6795D"/>
    <w:rsid w:val="00AB445A"/>
    <w:rsid w:val="00AF47C1"/>
    <w:rsid w:val="00BA2EAF"/>
    <w:rsid w:val="00CE1C8A"/>
    <w:rsid w:val="00D53E3D"/>
    <w:rsid w:val="00DB788E"/>
    <w:rsid w:val="00DD179F"/>
    <w:rsid w:val="00E04718"/>
    <w:rsid w:val="00EE2A47"/>
    <w:rsid w:val="00F26B9A"/>
    <w:rsid w:val="00F41C8D"/>
    <w:rsid w:val="00F44E44"/>
    <w:rsid w:val="00FF6BE1"/>
    <w:rsid w:val="322D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uiPriority w:val="0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uiPriority w:val="0"/>
  </w:style>
  <w:style w:type="character" w:customStyle="1" w:styleId="16">
    <w:name w:val="newstext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Интернет) Знак"/>
    <w:link w:val="8"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uiPriority w:val="99"/>
  </w:style>
  <w:style w:type="character" w:customStyle="1" w:styleId="21">
    <w:name w:val="Нижний колонтитул Знак"/>
    <w:basedOn w:val="2"/>
    <w:link w:val="7"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23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ascii="Times New Roman" w:hAnsi="Times New Roman" w:eastAsia="Courier New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3761</Words>
  <Characters>21443</Characters>
  <Lines>178</Lines>
  <Paragraphs>50</Paragraphs>
  <TotalTime>0</TotalTime>
  <ScaleCrop>false</ScaleCrop>
  <LinksUpToDate>false</LinksUpToDate>
  <CharactersWithSpaces>25154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2023-03-17T10:08:13Z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2C15EF8E36FD4D6B921BF22E844295E4</vt:lpwstr>
  </property>
</Properties>
</file>